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5CF86" w14:textId="77777777" w:rsidR="008F49B8" w:rsidRDefault="008F49B8" w:rsidP="00F36489">
      <w:pPr>
        <w:pStyle w:val="BodyText"/>
      </w:pPr>
    </w:p>
    <w:p w14:paraId="4E459FE8" w14:textId="63B7640D" w:rsidR="008F49B8" w:rsidRPr="008F49B8" w:rsidRDefault="008F49B8" w:rsidP="008F49B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vertAlign w:val="superscript"/>
        </w:rPr>
        <w:footnoteReference w:id="2"/>
      </w:r>
      <w:r>
        <w:rPr>
          <w:rFonts w:ascii="Calibri" w:hAnsi="Calibri"/>
        </w:rPr>
        <w:t xml:space="preserve">  PAP38-</w:t>
      </w:r>
      <w:r>
        <w:rPr>
          <w:rFonts w:ascii="Calibri" w:hAnsi="Calibri"/>
        </w:rPr>
        <w:t>5.8.3.1</w:t>
      </w:r>
    </w:p>
    <w:p w14:paraId="370CFB53" w14:textId="0C770D4B" w:rsidR="0080294B" w:rsidRPr="007A395D" w:rsidRDefault="00E558C3" w:rsidP="00F36489">
      <w:pPr>
        <w:pStyle w:val="BodyText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CDBDB73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="008F49B8" w:rsidRPr="008F49B8">
        <w:rPr>
          <w:b/>
        </w:rPr>
        <w:t>x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>
        <w:rPr>
          <w:b/>
        </w:rPr>
        <w:t>X</w:t>
      </w:r>
      <w:r w:rsidR="00242328" w:rsidRPr="007A395D">
        <w:rPr>
          <w:b/>
        </w:rPr>
        <w:t xml:space="preserve"> </w:t>
      </w:r>
      <w:r w:rsidRPr="007A395D">
        <w:t xml:space="preserve">  Input</w:t>
      </w:r>
    </w:p>
    <w:p w14:paraId="0BC79547" w14:textId="291F74C8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0172F421" w:rsidR="00A446C9" w:rsidRDefault="00A446C9" w:rsidP="00F36489">
      <w:pPr>
        <w:pStyle w:val="BodyText"/>
      </w:pPr>
      <w:r w:rsidRPr="007A395D">
        <w:t>Agenda item</w:t>
      </w:r>
      <w:r w:rsidR="00365612">
        <w:rPr>
          <w:vertAlign w:val="superscript"/>
        </w:rPr>
        <w:tab/>
      </w:r>
      <w:r w:rsidR="00365612">
        <w:rPr>
          <w:vertAlign w:val="superscript"/>
        </w:rPr>
        <w:tab/>
      </w:r>
      <w:r w:rsidR="00CC2DCC">
        <w:tab/>
      </w:r>
      <w:r w:rsidR="00365612">
        <w:tab/>
      </w:r>
      <w:r w:rsidR="00365612">
        <w:tab/>
      </w:r>
      <w:r w:rsidR="007949AA" w:rsidRPr="00C07E8C">
        <w:t>5.8.3</w:t>
      </w:r>
    </w:p>
    <w:p w14:paraId="320C5681" w14:textId="5B843078" w:rsidR="008F49B8" w:rsidRPr="007A395D" w:rsidRDefault="008F49B8" w:rsidP="008F49B8">
      <w:pPr>
        <w:pStyle w:val="BodyText"/>
        <w:tabs>
          <w:tab w:val="left" w:pos="2835"/>
        </w:tabs>
      </w:pPr>
      <w:r>
        <w:t xml:space="preserve">Technical Domain / Task Number </w:t>
      </w:r>
      <w:bookmarkStart w:id="0" w:name="_GoBack"/>
      <w:bookmarkEnd w:id="0"/>
      <w:r>
        <w:tab/>
      </w:r>
      <w:r>
        <w:tab/>
      </w:r>
      <w:r>
        <w:t>N/A</w:t>
      </w:r>
    </w:p>
    <w:p w14:paraId="01FC5420" w14:textId="2F650CD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  <w:t>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16A0C339" w:rsidR="00A446C9" w:rsidRPr="00CC2DCC" w:rsidRDefault="00242328" w:rsidP="00F36489">
      <w:pPr>
        <w:pStyle w:val="Title"/>
        <w:rPr>
          <w:color w:val="00558C"/>
        </w:rPr>
      </w:pPr>
      <w:r>
        <w:rPr>
          <w:color w:val="00558C"/>
        </w:rPr>
        <w:t>Scope of MRN</w:t>
      </w:r>
    </w:p>
    <w:p w14:paraId="0F258596" w14:textId="37F5EE37" w:rsidR="00A446C9" w:rsidRPr="004D4B1B" w:rsidRDefault="00755DCC" w:rsidP="000E5BA9">
      <w:pPr>
        <w:pStyle w:val="Heading1"/>
      </w:pPr>
      <w:r>
        <w:t>Background</w:t>
      </w:r>
    </w:p>
    <w:p w14:paraId="7264AAEF" w14:textId="68394D1B" w:rsidR="008B160B" w:rsidRDefault="008B160B" w:rsidP="00F36489">
      <w:pPr>
        <w:pStyle w:val="BodyText"/>
      </w:pPr>
      <w:r w:rsidRPr="00750980">
        <w:t>Navigationally</w:t>
      </w:r>
      <w:r>
        <w:t>,</w:t>
      </w:r>
      <w:r w:rsidRPr="00750980">
        <w:t xml:space="preserve"> unique </w:t>
      </w:r>
      <w:r w:rsidR="009A6D03">
        <w:t>object</w:t>
      </w:r>
      <w:r w:rsidRPr="00750980">
        <w:t xml:space="preserve">s such as </w:t>
      </w:r>
      <w:proofErr w:type="spellStart"/>
      <w:r w:rsidR="007541EE">
        <w:t>AtoN</w:t>
      </w:r>
      <w:proofErr w:type="spellEnd"/>
      <w:r w:rsidRPr="00750980">
        <w:t>, VTS and other maritime services</w:t>
      </w:r>
      <w:r>
        <w:t xml:space="preserve"> </w:t>
      </w:r>
      <w:r w:rsidRPr="00750980">
        <w:t>require</w:t>
      </w:r>
      <w:r>
        <w:t xml:space="preserve"> </w:t>
      </w:r>
      <w:r w:rsidRPr="00750980">
        <w:t xml:space="preserve">identification numbers to avoid duplication and misalignment of </w:t>
      </w:r>
      <w:r w:rsidR="007541EE">
        <w:t>information</w:t>
      </w:r>
      <w:r w:rsidRPr="00750980">
        <w:t>.</w:t>
      </w:r>
      <w:r w:rsidR="0040237F">
        <w:t xml:space="preserve"> </w:t>
      </w:r>
      <w:r w:rsidR="0040237F" w:rsidRPr="005857DA">
        <w:rPr>
          <w:lang w:eastAsia="ko-KR"/>
        </w:rPr>
        <w:t>Maritime Resource Name (MRN) is a naming scheme that can uniquely identify any maritime resource on a global scale.</w:t>
      </w:r>
    </w:p>
    <w:p w14:paraId="1A156DA1" w14:textId="627DBB38" w:rsidR="00257E5E" w:rsidRPr="00C70D7B" w:rsidRDefault="005857DA" w:rsidP="00F36489">
      <w:pPr>
        <w:pStyle w:val="BodyText"/>
      </w:pPr>
      <w:r>
        <w:rPr>
          <w:lang w:eastAsia="ko-KR"/>
        </w:rPr>
        <w:t xml:space="preserve">IALA Council </w:t>
      </w:r>
      <w:r w:rsidR="007412FA">
        <w:rPr>
          <w:lang w:eastAsia="ko-KR"/>
        </w:rPr>
        <w:t xml:space="preserve">69 </w:t>
      </w:r>
      <w:r>
        <w:rPr>
          <w:lang w:eastAsia="ko-KR"/>
        </w:rPr>
        <w:t xml:space="preserve">approved the </w:t>
      </w:r>
      <w:r w:rsidR="00CD642A">
        <w:rPr>
          <w:lang w:eastAsia="ko-KR"/>
        </w:rPr>
        <w:t>G</w:t>
      </w:r>
      <w:r>
        <w:rPr>
          <w:lang w:eastAsia="ko-KR"/>
        </w:rPr>
        <w:t xml:space="preserve">uideline </w:t>
      </w:r>
      <w:r w:rsidR="00CD642A">
        <w:rPr>
          <w:lang w:eastAsia="ko-KR"/>
        </w:rPr>
        <w:t xml:space="preserve">1143 </w:t>
      </w:r>
      <w:r w:rsidR="002C093F">
        <w:rPr>
          <w:lang w:eastAsia="ko-KR"/>
        </w:rPr>
        <w:t xml:space="preserve">on Unique identifiers for Maritime Resources in June 2019. </w:t>
      </w:r>
      <w:r w:rsidR="008B160B" w:rsidRPr="00750980">
        <w:t xml:space="preserve">The </w:t>
      </w:r>
      <w:r w:rsidR="007412FA">
        <w:t>document</w:t>
      </w:r>
      <w:r w:rsidR="008B160B" w:rsidRPr="00750980">
        <w:t xml:space="preserve"> proposes that</w:t>
      </w:r>
      <w:r w:rsidR="008B160B">
        <w:t xml:space="preserve"> </w:t>
      </w:r>
      <w:r w:rsidR="008B160B" w:rsidRPr="00750980">
        <w:t xml:space="preserve">the use of unique identifiers is </w:t>
      </w:r>
      <w:r w:rsidR="008B160B" w:rsidRPr="00A11C62">
        <w:rPr>
          <w:noProof/>
        </w:rPr>
        <w:t>a necessary</w:t>
      </w:r>
      <w:r w:rsidR="008B160B" w:rsidRPr="00750980">
        <w:t xml:space="preserve"> development of e-Navigation to maintain </w:t>
      </w:r>
      <w:r w:rsidR="008B160B" w:rsidRPr="00A11C62">
        <w:rPr>
          <w:noProof/>
        </w:rPr>
        <w:t>harmonization</w:t>
      </w:r>
      <w:r w:rsidR="008B160B" w:rsidRPr="00750980">
        <w:t xml:space="preserve"> across domains and services.</w:t>
      </w:r>
      <w:r w:rsidR="009A6D03">
        <w:t xml:space="preserve"> </w:t>
      </w:r>
      <w:r w:rsidR="009A6D03">
        <w:rPr>
          <w:lang w:eastAsia="ko-KR"/>
        </w:rPr>
        <w:t xml:space="preserve">This </w:t>
      </w:r>
      <w:r w:rsidR="00016461">
        <w:rPr>
          <w:lang w:eastAsia="ko-KR"/>
        </w:rPr>
        <w:t>G</w:t>
      </w:r>
      <w:r w:rsidR="007412FA">
        <w:rPr>
          <w:lang w:eastAsia="ko-KR"/>
        </w:rPr>
        <w:t>uideline</w:t>
      </w:r>
      <w:r w:rsidR="009A6D03">
        <w:rPr>
          <w:lang w:eastAsia="ko-KR"/>
        </w:rPr>
        <w:t xml:space="preserve"> defines requirements, syntax and areas of application</w:t>
      </w:r>
      <w:r w:rsidR="00731E91">
        <w:rPr>
          <w:lang w:eastAsia="ko-KR"/>
        </w:rPr>
        <w:t xml:space="preserve"> </w:t>
      </w:r>
      <w:r w:rsidR="00DD6270">
        <w:rPr>
          <w:lang w:eastAsia="ko-KR"/>
        </w:rPr>
        <w:t>of AtoN, VTS and Waterways</w:t>
      </w:r>
      <w:r w:rsidR="009A6D03">
        <w:rPr>
          <w:lang w:eastAsia="ko-KR"/>
        </w:rPr>
        <w:t>.</w:t>
      </w:r>
    </w:p>
    <w:p w14:paraId="53733F03" w14:textId="3E3B7E44" w:rsidR="00A446C9" w:rsidRDefault="00C07F00" w:rsidP="000E5BA9">
      <w:pPr>
        <w:pStyle w:val="Heading1"/>
      </w:pPr>
      <w:r>
        <w:t>MRN</w:t>
      </w:r>
      <w:r w:rsidR="0012460F">
        <w:rPr>
          <w:lang w:eastAsia="ko-KR"/>
        </w:rPr>
        <w:t xml:space="preserve"> distribution</w:t>
      </w:r>
    </w:p>
    <w:p w14:paraId="696E3829" w14:textId="3BCA48B0" w:rsidR="00005C9C" w:rsidRDefault="004C7031" w:rsidP="000A2F0E">
      <w:pPr>
        <w:pStyle w:val="BodyText"/>
        <w:rPr>
          <w:lang w:eastAsia="ko-KR"/>
        </w:rPr>
      </w:pPr>
      <w:r w:rsidRPr="0012460F">
        <w:rPr>
          <w:lang w:eastAsia="ko-KR"/>
        </w:rPr>
        <w:t xml:space="preserve">The </w:t>
      </w:r>
      <w:r w:rsidR="007E2491">
        <w:rPr>
          <w:lang w:eastAsia="ko-KR"/>
        </w:rPr>
        <w:t>MRN</w:t>
      </w:r>
      <w:r w:rsidRPr="0012460F">
        <w:rPr>
          <w:lang w:eastAsia="ko-KR"/>
        </w:rPr>
        <w:t xml:space="preserve"> and the associated </w:t>
      </w:r>
      <w:r w:rsidR="007E2491">
        <w:rPr>
          <w:lang w:eastAsia="ko-KR"/>
        </w:rPr>
        <w:t>e</w:t>
      </w:r>
      <w:r w:rsidRPr="0012460F">
        <w:rPr>
          <w:lang w:eastAsia="ko-KR"/>
        </w:rPr>
        <w:t>xperimental namespaces can be</w:t>
      </w:r>
      <w:r w:rsidR="00533741" w:rsidRPr="0012460F">
        <w:rPr>
          <w:lang w:eastAsia="ko-KR"/>
        </w:rPr>
        <w:t xml:space="preserve"> </w:t>
      </w:r>
      <w:r w:rsidRPr="0012460F">
        <w:rPr>
          <w:lang w:eastAsia="ko-KR"/>
        </w:rPr>
        <w:t>applied in numerous areas within the maritime domain, and other maritime stakeholders are invited to adopt this</w:t>
      </w:r>
      <w:r w:rsidR="00533741" w:rsidRPr="0012460F">
        <w:rPr>
          <w:lang w:eastAsia="ko-KR"/>
        </w:rPr>
        <w:t xml:space="preserve"> s</w:t>
      </w:r>
      <w:r w:rsidRPr="0012460F">
        <w:rPr>
          <w:lang w:eastAsia="ko-KR"/>
        </w:rPr>
        <w:t xml:space="preserve">yntax for creation of unique identifiers, through registration </w:t>
      </w:r>
      <w:r w:rsidR="00CE145C" w:rsidRPr="0012460F">
        <w:rPr>
          <w:lang w:eastAsia="ko-KR"/>
        </w:rPr>
        <w:t>defined in the G1143</w:t>
      </w:r>
      <w:r w:rsidRPr="0012460F">
        <w:rPr>
          <w:lang w:eastAsia="ko-KR"/>
        </w:rPr>
        <w:t>.</w:t>
      </w:r>
    </w:p>
    <w:p w14:paraId="3D28CEC1" w14:textId="1E2C37FA" w:rsidR="00765267" w:rsidRDefault="00643CFB" w:rsidP="00B9311D">
      <w:pPr>
        <w:pStyle w:val="BodyText"/>
        <w:rPr>
          <w:lang w:eastAsia="ko-KR"/>
        </w:rPr>
      </w:pPr>
      <w:r>
        <w:rPr>
          <w:rFonts w:hint="eastAsia"/>
          <w:lang w:eastAsia="ko-KR"/>
        </w:rPr>
        <w:t>T</w:t>
      </w:r>
      <w:r>
        <w:rPr>
          <w:lang w:eastAsia="ko-KR"/>
        </w:rPr>
        <w:t xml:space="preserve">he list of </w:t>
      </w:r>
      <w:r w:rsidR="00063989">
        <w:rPr>
          <w:lang w:eastAsia="ko-KR"/>
        </w:rPr>
        <w:t>Organization IDs</w:t>
      </w:r>
      <w:r w:rsidR="00671F82">
        <w:rPr>
          <w:lang w:eastAsia="ko-KR"/>
        </w:rPr>
        <w:t xml:space="preserve"> re</w:t>
      </w:r>
      <w:r w:rsidR="00A22D04">
        <w:rPr>
          <w:lang w:eastAsia="ko-KR"/>
        </w:rPr>
        <w:t>gi</w:t>
      </w:r>
      <w:r w:rsidR="00671F82">
        <w:rPr>
          <w:lang w:eastAsia="ko-KR"/>
        </w:rPr>
        <w:t xml:space="preserve">stered in IALA </w:t>
      </w:r>
      <w:r w:rsidR="000A2F0E">
        <w:rPr>
          <w:lang w:eastAsia="ko-KR"/>
        </w:rPr>
        <w:t>is as follows;</w:t>
      </w: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7"/>
        <w:gridCol w:w="1883"/>
        <w:gridCol w:w="5691"/>
      </w:tblGrid>
      <w:tr w:rsidR="00921AAF" w14:paraId="4C942A3B" w14:textId="77777777" w:rsidTr="00921AAF">
        <w:trPr>
          <w:trHeight w:val="492"/>
        </w:trPr>
        <w:tc>
          <w:tcPr>
            <w:tcW w:w="20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6A8F0" w14:textId="77777777" w:rsidR="00921AAF" w:rsidRPr="000A2F0E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0A2F0E">
              <w:rPr>
                <w:bCs/>
                <w:lang w:eastAsia="ko-KR"/>
              </w:rPr>
              <w:t>Organization IDs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BD0B6" w14:textId="77777777" w:rsidR="00921AAF" w:rsidRPr="000A2F0E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0A2F0E">
              <w:rPr>
                <w:bCs/>
                <w:lang w:eastAsia="ko-KR"/>
              </w:rPr>
              <w:t> Date</w:t>
            </w:r>
          </w:p>
        </w:tc>
        <w:tc>
          <w:tcPr>
            <w:tcW w:w="5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C2A193" w14:textId="77777777" w:rsidR="00921AAF" w:rsidRPr="000A2F0E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0A2F0E">
              <w:rPr>
                <w:bCs/>
                <w:lang w:eastAsia="ko-KR"/>
              </w:rPr>
              <w:t>registering organization</w:t>
            </w:r>
          </w:p>
        </w:tc>
      </w:tr>
      <w:tr w:rsidR="00921AAF" w14:paraId="58272FD4" w14:textId="77777777" w:rsidTr="00921AAF">
        <w:trPr>
          <w:trHeight w:val="502"/>
        </w:trPr>
        <w:tc>
          <w:tcPr>
            <w:tcW w:w="20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4EC74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proofErr w:type="spellStart"/>
            <w:r w:rsidRPr="00643CFB">
              <w:rPr>
                <w:lang w:eastAsia="ko-KR"/>
              </w:rPr>
              <w:t>urn:mrn:iala</w:t>
            </w:r>
            <w:proofErr w:type="spellEnd"/>
            <w:r w:rsidRPr="00643CFB">
              <w:rPr>
                <w:lang w:eastAsia="ko-KR"/>
              </w:rPr>
              <w:t>: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001E0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2017-07-30</w:t>
            </w:r>
          </w:p>
        </w:tc>
        <w:tc>
          <w:tcPr>
            <w:tcW w:w="5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498DB" w14:textId="1E6138EF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I</w:t>
            </w:r>
            <w:r>
              <w:rPr>
                <w:lang w:eastAsia="ko-KR"/>
              </w:rPr>
              <w:t>ALA</w:t>
            </w:r>
          </w:p>
          <w:p w14:paraId="6A890963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http://www.iala-aism.org</w:t>
            </w:r>
          </w:p>
        </w:tc>
      </w:tr>
      <w:tr w:rsidR="00921AAF" w14:paraId="1079DDBE" w14:textId="77777777" w:rsidTr="00921AAF">
        <w:trPr>
          <w:trHeight w:val="492"/>
        </w:trPr>
        <w:tc>
          <w:tcPr>
            <w:tcW w:w="20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2B54C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proofErr w:type="spellStart"/>
            <w:r w:rsidRPr="00643CFB">
              <w:rPr>
                <w:lang w:eastAsia="ko-KR"/>
              </w:rPr>
              <w:t>urn:mrn:iho</w:t>
            </w:r>
            <w:proofErr w:type="spellEnd"/>
            <w:r w:rsidRPr="00643CFB">
              <w:rPr>
                <w:lang w:eastAsia="ko-KR"/>
              </w:rPr>
              <w:t>: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22A48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2018-04-04</w:t>
            </w:r>
          </w:p>
        </w:tc>
        <w:tc>
          <w:tcPr>
            <w:tcW w:w="5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AA415C" w14:textId="1E9A1C26" w:rsidR="00921AAF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>
              <w:rPr>
                <w:lang w:eastAsia="ko-KR"/>
              </w:rPr>
              <w:t xml:space="preserve">IHO </w:t>
            </w:r>
          </w:p>
          <w:p w14:paraId="20453635" w14:textId="00CAD71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http://www.iho.int</w:t>
            </w:r>
          </w:p>
        </w:tc>
      </w:tr>
      <w:tr w:rsidR="00921AAF" w14:paraId="553DADD2" w14:textId="77777777" w:rsidTr="00921AAF">
        <w:trPr>
          <w:trHeight w:val="502"/>
        </w:trPr>
        <w:tc>
          <w:tcPr>
            <w:tcW w:w="20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3C6BD6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proofErr w:type="spellStart"/>
            <w:r w:rsidRPr="00643CFB">
              <w:rPr>
                <w:lang w:eastAsia="ko-KR"/>
              </w:rPr>
              <w:t>urn:mrn:mcl</w:t>
            </w:r>
            <w:proofErr w:type="spellEnd"/>
            <w:r w:rsidRPr="00643CFB">
              <w:rPr>
                <w:lang w:eastAsia="ko-KR"/>
              </w:rPr>
              <w:t>: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1B1DA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2017-06-22</w:t>
            </w:r>
          </w:p>
        </w:tc>
        <w:tc>
          <w:tcPr>
            <w:tcW w:w="5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0F27A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Maritime Cloud Development Forum (MCDF)</w:t>
            </w:r>
          </w:p>
          <w:p w14:paraId="28331CF2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http://www.maritimecloud.net</w:t>
            </w:r>
          </w:p>
        </w:tc>
      </w:tr>
      <w:tr w:rsidR="00921AAF" w14:paraId="22641408" w14:textId="77777777" w:rsidTr="00921AAF">
        <w:trPr>
          <w:trHeight w:val="492"/>
        </w:trPr>
        <w:tc>
          <w:tcPr>
            <w:tcW w:w="20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422DD4" w14:textId="0CE5E0E3" w:rsidR="00921AAF" w:rsidRPr="00643CFB" w:rsidRDefault="00016461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>
              <w:rPr>
                <w:lang w:eastAsia="ko-KR"/>
              </w:rPr>
              <w:t>u</w:t>
            </w:r>
            <w:r w:rsidR="00921AAF" w:rsidRPr="00643CFB">
              <w:rPr>
                <w:lang w:eastAsia="ko-KR"/>
              </w:rPr>
              <w:t>rn:mrn:gs1: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E4DE02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2018-10-30</w:t>
            </w:r>
          </w:p>
        </w:tc>
        <w:tc>
          <w:tcPr>
            <w:tcW w:w="5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5AAD9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GS1 Global Office</w:t>
            </w:r>
          </w:p>
          <w:p w14:paraId="3A18228C" w14:textId="77777777" w:rsidR="00921AAF" w:rsidRPr="00643CFB" w:rsidRDefault="008F49B8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hyperlink r:id="rId8" w:history="1">
              <w:r w:rsidR="00921AAF" w:rsidRPr="00643CFB">
                <w:rPr>
                  <w:lang w:eastAsia="ko-KR"/>
                </w:rPr>
                <w:t>www.gs1.org</w:t>
              </w:r>
            </w:hyperlink>
          </w:p>
        </w:tc>
      </w:tr>
      <w:tr w:rsidR="00921AAF" w14:paraId="1773BC37" w14:textId="77777777" w:rsidTr="00921AAF">
        <w:trPr>
          <w:trHeight w:val="749"/>
        </w:trPr>
        <w:tc>
          <w:tcPr>
            <w:tcW w:w="20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13757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proofErr w:type="spellStart"/>
            <w:r w:rsidRPr="00643CFB">
              <w:rPr>
                <w:lang w:eastAsia="ko-KR"/>
              </w:rPr>
              <w:t>urn:mrn:mission</w:t>
            </w:r>
            <w:proofErr w:type="spellEnd"/>
            <w:r w:rsidRPr="00643CFB">
              <w:rPr>
                <w:lang w:eastAsia="ko-KR"/>
              </w:rPr>
              <w:t>: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950CE6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2019-2-01</w:t>
            </w:r>
          </w:p>
        </w:tc>
        <w:tc>
          <w:tcPr>
            <w:tcW w:w="5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CBCFC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Manage Information Seamlessly in Ports and Hinterlands (MISSION)</w:t>
            </w:r>
          </w:p>
          <w:p w14:paraId="468AB277" w14:textId="77777777" w:rsidR="00921AAF" w:rsidRPr="00643CFB" w:rsidRDefault="008F49B8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hyperlink r:id="rId9" w:history="1">
              <w:r w:rsidR="00921AAF" w:rsidRPr="00643CFB">
                <w:rPr>
                  <w:lang w:eastAsia="ko-KR"/>
                </w:rPr>
                <w:t>https://www.lhg.com/index.php?id=239</w:t>
              </w:r>
            </w:hyperlink>
          </w:p>
        </w:tc>
      </w:tr>
      <w:tr w:rsidR="00921AAF" w14:paraId="670BF2C6" w14:textId="77777777" w:rsidTr="00921AAF">
        <w:trPr>
          <w:trHeight w:val="749"/>
        </w:trPr>
        <w:tc>
          <w:tcPr>
            <w:tcW w:w="20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84A1E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proofErr w:type="spellStart"/>
            <w:r w:rsidRPr="00643CFB">
              <w:rPr>
                <w:lang w:eastAsia="ko-KR"/>
              </w:rPr>
              <w:lastRenderedPageBreak/>
              <w:t>urn:mrn:ipcdmc</w:t>
            </w:r>
            <w:proofErr w:type="spellEnd"/>
            <w:r w:rsidRPr="00643CFB">
              <w:rPr>
                <w:lang w:eastAsia="ko-KR"/>
              </w:rPr>
              <w:t>: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104D52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2019-06-26</w:t>
            </w:r>
          </w:p>
        </w:tc>
        <w:tc>
          <w:tcPr>
            <w:tcW w:w="5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31643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International Port Collaborative Decision Making Council (IPCDMC)</w:t>
            </w:r>
          </w:p>
          <w:p w14:paraId="1D29C928" w14:textId="77777777" w:rsidR="00921AAF" w:rsidRPr="00643CFB" w:rsidRDefault="008F49B8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hyperlink r:id="rId10" w:history="1">
              <w:r w:rsidR="00921AAF" w:rsidRPr="00643CFB">
                <w:rPr>
                  <w:lang w:eastAsia="ko-KR"/>
                </w:rPr>
                <w:t>http://www.ipcdmc.org</w:t>
              </w:r>
            </w:hyperlink>
          </w:p>
        </w:tc>
      </w:tr>
      <w:tr w:rsidR="00921AAF" w14:paraId="12FE19F7" w14:textId="77777777" w:rsidTr="00921AAF">
        <w:trPr>
          <w:trHeight w:val="492"/>
        </w:trPr>
        <w:tc>
          <w:tcPr>
            <w:tcW w:w="20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D7B28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proofErr w:type="spellStart"/>
            <w:r w:rsidRPr="00643CFB">
              <w:rPr>
                <w:lang w:eastAsia="ko-KR"/>
              </w:rPr>
              <w:t>urn:mrn:stm</w:t>
            </w:r>
            <w:proofErr w:type="spellEnd"/>
            <w:r w:rsidRPr="00643CFB">
              <w:rPr>
                <w:lang w:eastAsia="ko-KR"/>
              </w:rPr>
              <w:t>: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1A9695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2019-03-28</w:t>
            </w:r>
          </w:p>
        </w:tc>
        <w:tc>
          <w:tcPr>
            <w:tcW w:w="5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F9EED" w14:textId="77777777" w:rsidR="00921AAF" w:rsidRPr="00643CFB" w:rsidRDefault="00921AAF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r w:rsidRPr="00643CFB">
              <w:rPr>
                <w:lang w:eastAsia="ko-KR"/>
              </w:rPr>
              <w:t>Sea Traffic Management (STM)</w:t>
            </w:r>
          </w:p>
          <w:p w14:paraId="3850F145" w14:textId="77777777" w:rsidR="00921AAF" w:rsidRPr="00643CFB" w:rsidRDefault="008F49B8" w:rsidP="006C793F">
            <w:pPr>
              <w:pStyle w:val="BodyText"/>
              <w:spacing w:after="0"/>
              <w:ind w:left="142" w:right="103"/>
              <w:rPr>
                <w:lang w:eastAsia="ko-KR"/>
              </w:rPr>
            </w:pPr>
            <w:hyperlink r:id="rId11" w:history="1">
              <w:r w:rsidR="00921AAF" w:rsidRPr="00643CFB">
                <w:rPr>
                  <w:lang w:eastAsia="ko-KR"/>
                </w:rPr>
                <w:t>https://www.stmvalidation.eu/</w:t>
              </w:r>
            </w:hyperlink>
          </w:p>
        </w:tc>
      </w:tr>
    </w:tbl>
    <w:p w14:paraId="11D1F7F2" w14:textId="534B662B" w:rsidR="00DE4B79" w:rsidRDefault="00DE4B79" w:rsidP="00B9311D">
      <w:pPr>
        <w:pStyle w:val="BodyText"/>
        <w:rPr>
          <w:lang w:eastAsia="ko-KR"/>
        </w:rPr>
      </w:pPr>
    </w:p>
    <w:p w14:paraId="0E9B509F" w14:textId="0E093D1D" w:rsidR="00671F82" w:rsidRDefault="00731A8B" w:rsidP="005F3734">
      <w:pPr>
        <w:pStyle w:val="Heading1"/>
        <w:numPr>
          <w:ilvl w:val="0"/>
          <w:numId w:val="0"/>
        </w:numPr>
        <w:ind w:left="360" w:hanging="360"/>
        <w:rPr>
          <w:lang w:eastAsia="ko-KR"/>
        </w:rPr>
      </w:pPr>
      <w:r>
        <w:rPr>
          <w:lang w:eastAsia="ko-KR"/>
        </w:rPr>
        <w:t>2</w:t>
      </w:r>
      <w:r w:rsidR="009316B0">
        <w:rPr>
          <w:lang w:eastAsia="ko-KR"/>
        </w:rPr>
        <w:t>.</w:t>
      </w:r>
      <w:r>
        <w:rPr>
          <w:lang w:eastAsia="ko-KR"/>
        </w:rPr>
        <w:t>1</w:t>
      </w:r>
      <w:r w:rsidR="00DD0907">
        <w:rPr>
          <w:lang w:eastAsia="ko-KR"/>
        </w:rPr>
        <w:t xml:space="preserve"> </w:t>
      </w:r>
      <w:r w:rsidR="00E84E12">
        <w:rPr>
          <w:lang w:eastAsia="ko-KR"/>
        </w:rPr>
        <w:t>Example of domain and namespace</w:t>
      </w:r>
    </w:p>
    <w:p w14:paraId="672C8873" w14:textId="77777777" w:rsidR="005F3734" w:rsidRDefault="00A86BC7" w:rsidP="005F3734">
      <w:pPr>
        <w:pStyle w:val="BodyText"/>
        <w:numPr>
          <w:ilvl w:val="0"/>
          <w:numId w:val="33"/>
        </w:numPr>
        <w:rPr>
          <w:lang w:eastAsia="ko-KR"/>
        </w:rPr>
      </w:pPr>
      <w:r>
        <w:rPr>
          <w:lang w:eastAsia="ko-KR"/>
        </w:rPr>
        <w:t>Marine Aids to Navigation</w:t>
      </w:r>
    </w:p>
    <w:p w14:paraId="4F55AA5D" w14:textId="7C731D00" w:rsidR="00A86BC7" w:rsidRDefault="006A2EFB" w:rsidP="00B1676A">
      <w:pPr>
        <w:pStyle w:val="BodyText"/>
        <w:numPr>
          <w:ilvl w:val="0"/>
          <w:numId w:val="35"/>
        </w:numPr>
        <w:ind w:firstLine="22"/>
        <w:rPr>
          <w:lang w:eastAsia="ko-KR"/>
        </w:rPr>
      </w:pPr>
      <w:r>
        <w:rPr>
          <w:lang w:eastAsia="ko-KR"/>
        </w:rPr>
        <w:t>u</w:t>
      </w:r>
      <w:r w:rsidR="009316B0">
        <w:rPr>
          <w:lang w:eastAsia="ko-KR"/>
        </w:rPr>
        <w:t>rn:mrn</w:t>
      </w:r>
      <w:r>
        <w:rPr>
          <w:lang w:eastAsia="ko-KR"/>
        </w:rPr>
        <w:t>:</w:t>
      </w:r>
      <w:r w:rsidR="009316B0">
        <w:rPr>
          <w:lang w:eastAsia="ko-KR"/>
        </w:rPr>
        <w:t>iala:aton:us:1234-5</w:t>
      </w:r>
    </w:p>
    <w:p w14:paraId="161281A9" w14:textId="62FFAF4B" w:rsidR="00C04207" w:rsidRDefault="006A2EFB" w:rsidP="00042A1C">
      <w:pPr>
        <w:pStyle w:val="BodyText"/>
        <w:numPr>
          <w:ilvl w:val="0"/>
          <w:numId w:val="35"/>
        </w:numPr>
        <w:ind w:firstLine="22"/>
        <w:rPr>
          <w:lang w:eastAsia="ko-KR"/>
        </w:rPr>
      </w:pPr>
      <w:r>
        <w:rPr>
          <w:lang w:eastAsia="ko-KR"/>
        </w:rPr>
        <w:t>urn:mrn:iala:aton:gb:sco:</w:t>
      </w:r>
      <w:r w:rsidR="005011C7">
        <w:rPr>
          <w:lang w:eastAsia="ko-KR"/>
        </w:rPr>
        <w:t>6789-1</w:t>
      </w:r>
    </w:p>
    <w:p w14:paraId="0DF2F367" w14:textId="0DFFCB04" w:rsidR="00DE4B79" w:rsidRDefault="00DE4B79" w:rsidP="00DE4B79">
      <w:pPr>
        <w:pStyle w:val="Heading1"/>
      </w:pPr>
      <w:r>
        <w:rPr>
          <w:rFonts w:hint="eastAsia"/>
          <w:lang w:eastAsia="ko-KR"/>
        </w:rPr>
        <w:t>D</w:t>
      </w:r>
      <w:r>
        <w:rPr>
          <w:lang w:eastAsia="ko-KR"/>
        </w:rPr>
        <w:t>iscussion</w:t>
      </w:r>
    </w:p>
    <w:p w14:paraId="4D6F05DA" w14:textId="661F2F97" w:rsidR="00457E99" w:rsidRPr="00154610" w:rsidRDefault="00921736" w:rsidP="00EA003A">
      <w:pPr>
        <w:pStyle w:val="BodyText"/>
        <w:rPr>
          <w:b/>
          <w:lang w:eastAsia="ko-KR"/>
        </w:rPr>
      </w:pPr>
      <w:r w:rsidRPr="00154610">
        <w:rPr>
          <w:b/>
          <w:lang w:eastAsia="ko-KR"/>
        </w:rPr>
        <w:t xml:space="preserve">Committee work on </w:t>
      </w:r>
      <w:r w:rsidR="00AA666A" w:rsidRPr="00154610">
        <w:rPr>
          <w:b/>
          <w:lang w:eastAsia="ko-KR"/>
        </w:rPr>
        <w:t xml:space="preserve">MRN </w:t>
      </w:r>
    </w:p>
    <w:p w14:paraId="512A9F40" w14:textId="5D03DE88" w:rsidR="00457E99" w:rsidRDefault="00472F36" w:rsidP="00EA003A">
      <w:pPr>
        <w:pStyle w:val="BodyText"/>
        <w:rPr>
          <w:lang w:eastAsia="ko-KR"/>
        </w:rPr>
      </w:pPr>
      <w:r>
        <w:rPr>
          <w:lang w:eastAsia="ko-KR"/>
        </w:rPr>
        <w:t xml:space="preserve">Since </w:t>
      </w:r>
      <w:r w:rsidR="006D1430">
        <w:rPr>
          <w:lang w:eastAsia="ko-KR"/>
        </w:rPr>
        <w:t xml:space="preserve">Council 65 approved the new Committee structure, MRN task has been transferred to ARM from ENAV. </w:t>
      </w:r>
      <w:r w:rsidR="009A5D7A">
        <w:rPr>
          <w:lang w:eastAsia="ko-KR"/>
        </w:rPr>
        <w:t>At ENAV</w:t>
      </w:r>
      <w:r w:rsidR="0050425D">
        <w:rPr>
          <w:lang w:eastAsia="ko-KR"/>
        </w:rPr>
        <w:t>23</w:t>
      </w:r>
      <w:r w:rsidR="00426479">
        <w:rPr>
          <w:lang w:eastAsia="ko-KR"/>
        </w:rPr>
        <w:t xml:space="preserve"> in April 2019</w:t>
      </w:r>
      <w:r w:rsidR="002831EA">
        <w:rPr>
          <w:lang w:eastAsia="ko-KR"/>
        </w:rPr>
        <w:t xml:space="preserve">, </w:t>
      </w:r>
      <w:r w:rsidR="00B51E3C">
        <w:rPr>
          <w:lang w:eastAsia="ko-KR"/>
        </w:rPr>
        <w:t xml:space="preserve">there was a discussion on the </w:t>
      </w:r>
      <w:r w:rsidR="004A41C1">
        <w:rPr>
          <w:lang w:eastAsia="ko-KR"/>
        </w:rPr>
        <w:t xml:space="preserve">usage </w:t>
      </w:r>
      <w:r w:rsidR="00B51E3C">
        <w:rPr>
          <w:lang w:eastAsia="ko-KR"/>
        </w:rPr>
        <w:t>structure</w:t>
      </w:r>
      <w:r w:rsidR="004A41C1">
        <w:rPr>
          <w:lang w:eastAsia="ko-KR"/>
        </w:rPr>
        <w:t xml:space="preserve"> of MRN and a </w:t>
      </w:r>
      <w:proofErr w:type="spellStart"/>
      <w:r w:rsidR="004A41C1">
        <w:rPr>
          <w:lang w:eastAsia="ko-KR"/>
        </w:rPr>
        <w:t>liason</w:t>
      </w:r>
      <w:proofErr w:type="spellEnd"/>
      <w:r w:rsidR="004A41C1">
        <w:rPr>
          <w:lang w:eastAsia="ko-KR"/>
        </w:rPr>
        <w:t xml:space="preserve"> note (ENAV23-12.1.5) was prepared</w:t>
      </w:r>
      <w:r w:rsidR="00BD09E5">
        <w:rPr>
          <w:lang w:eastAsia="ko-KR"/>
        </w:rPr>
        <w:t xml:space="preserve">, and ENAV requested ARM </w:t>
      </w:r>
      <w:r w:rsidR="00A028E9">
        <w:rPr>
          <w:lang w:eastAsia="ko-KR"/>
        </w:rPr>
        <w:t xml:space="preserve">to </w:t>
      </w:r>
      <w:proofErr w:type="spellStart"/>
      <w:r w:rsidR="00A028E9">
        <w:rPr>
          <w:lang w:eastAsia="ko-KR"/>
        </w:rPr>
        <w:t>liase</w:t>
      </w:r>
      <w:proofErr w:type="spellEnd"/>
      <w:r w:rsidR="00A028E9">
        <w:rPr>
          <w:lang w:eastAsia="ko-KR"/>
        </w:rPr>
        <w:t xml:space="preserve"> with the development </w:t>
      </w:r>
      <w:r w:rsidR="007B5066">
        <w:rPr>
          <w:lang w:eastAsia="ko-KR"/>
        </w:rPr>
        <w:t xml:space="preserve">of the Guideline. </w:t>
      </w:r>
    </w:p>
    <w:p w14:paraId="01192E8C" w14:textId="09AE1591" w:rsidR="00921736" w:rsidRPr="00154610" w:rsidRDefault="00154610" w:rsidP="00EA003A">
      <w:pPr>
        <w:pStyle w:val="BodyText"/>
        <w:rPr>
          <w:b/>
          <w:lang w:eastAsia="ko-KR"/>
        </w:rPr>
      </w:pPr>
      <w:r w:rsidRPr="00154610">
        <w:rPr>
          <w:b/>
          <w:lang w:eastAsia="ko-KR"/>
        </w:rPr>
        <w:t>National Authority level MRN</w:t>
      </w:r>
    </w:p>
    <w:p w14:paraId="2101EA6C" w14:textId="05B4DE42" w:rsidR="005A1C9F" w:rsidRDefault="00141A7F" w:rsidP="00EA003A">
      <w:pPr>
        <w:pStyle w:val="BodyText"/>
        <w:rPr>
          <w:lang w:eastAsia="ko-KR"/>
        </w:rPr>
      </w:pPr>
      <w:r>
        <w:rPr>
          <w:lang w:eastAsia="ko-KR"/>
        </w:rPr>
        <w:t>A f</w:t>
      </w:r>
      <w:r w:rsidR="00B149E3">
        <w:rPr>
          <w:lang w:eastAsia="ko-KR"/>
        </w:rPr>
        <w:t xml:space="preserve">ew </w:t>
      </w:r>
      <w:r w:rsidR="00B179FE">
        <w:rPr>
          <w:lang w:eastAsia="ko-KR"/>
        </w:rPr>
        <w:t xml:space="preserve">e-Navigation </w:t>
      </w:r>
      <w:r w:rsidR="00B149E3">
        <w:rPr>
          <w:lang w:eastAsia="ko-KR"/>
        </w:rPr>
        <w:t xml:space="preserve">projects finish </w:t>
      </w:r>
      <w:r w:rsidR="00016461">
        <w:rPr>
          <w:lang w:eastAsia="ko-KR"/>
        </w:rPr>
        <w:t>their</w:t>
      </w:r>
      <w:r w:rsidR="00B149E3">
        <w:rPr>
          <w:lang w:eastAsia="ko-KR"/>
        </w:rPr>
        <w:t xml:space="preserve"> experimental phase</w:t>
      </w:r>
      <w:r w:rsidR="00B179FE">
        <w:rPr>
          <w:lang w:eastAsia="ko-KR"/>
        </w:rPr>
        <w:t xml:space="preserve"> soon</w:t>
      </w:r>
      <w:r w:rsidR="001568A9">
        <w:rPr>
          <w:lang w:eastAsia="ko-KR"/>
        </w:rPr>
        <w:t xml:space="preserve">, so the allocated MRNs </w:t>
      </w:r>
      <w:r w:rsidR="0021387A">
        <w:rPr>
          <w:lang w:eastAsia="ko-KR"/>
        </w:rPr>
        <w:t>could</w:t>
      </w:r>
      <w:r w:rsidR="001568A9">
        <w:rPr>
          <w:lang w:eastAsia="ko-KR"/>
        </w:rPr>
        <w:t xml:space="preserve"> be transferred to </w:t>
      </w:r>
      <w:r w:rsidR="005A1C9F">
        <w:rPr>
          <w:lang w:eastAsia="ko-KR"/>
        </w:rPr>
        <w:t xml:space="preserve">the National Authorities with permanent Organization ID. </w:t>
      </w:r>
    </w:p>
    <w:p w14:paraId="38FBC91E" w14:textId="38D55452" w:rsidR="00E32611" w:rsidRPr="00E32611" w:rsidRDefault="00717089" w:rsidP="00E32611">
      <w:pPr>
        <w:pStyle w:val="BodyText"/>
        <w:rPr>
          <w:lang w:eastAsia="ko-KR"/>
        </w:rPr>
      </w:pPr>
      <w:r>
        <w:rPr>
          <w:lang w:eastAsia="ko-KR"/>
        </w:rPr>
        <w:t>At N</w:t>
      </w:r>
      <w:r w:rsidR="00016461">
        <w:rPr>
          <w:lang w:eastAsia="ko-KR"/>
        </w:rPr>
        <w:t xml:space="preserve">ational </w:t>
      </w:r>
      <w:r>
        <w:rPr>
          <w:lang w:eastAsia="ko-KR"/>
        </w:rPr>
        <w:t>A</w:t>
      </w:r>
      <w:r w:rsidR="00016461">
        <w:rPr>
          <w:lang w:eastAsia="ko-KR"/>
        </w:rPr>
        <w:t>uthority</w:t>
      </w:r>
      <w:r>
        <w:rPr>
          <w:lang w:eastAsia="ko-KR"/>
        </w:rPr>
        <w:t xml:space="preserve"> level, </w:t>
      </w:r>
      <w:r w:rsidR="00B82C40">
        <w:rPr>
          <w:lang w:eastAsia="ko-KR"/>
        </w:rPr>
        <w:t>subjects such as vessel</w:t>
      </w:r>
      <w:r w:rsidR="00016461">
        <w:rPr>
          <w:lang w:eastAsia="ko-KR"/>
        </w:rPr>
        <w:t>s</w:t>
      </w:r>
      <w:r w:rsidR="00B82C40">
        <w:rPr>
          <w:lang w:eastAsia="ko-KR"/>
        </w:rPr>
        <w:t>, device</w:t>
      </w:r>
      <w:r w:rsidR="00016461">
        <w:rPr>
          <w:lang w:eastAsia="ko-KR"/>
        </w:rPr>
        <w:t>s</w:t>
      </w:r>
      <w:r w:rsidR="00B82C40">
        <w:rPr>
          <w:lang w:eastAsia="ko-KR"/>
        </w:rPr>
        <w:t>, user</w:t>
      </w:r>
      <w:r w:rsidR="00016461">
        <w:rPr>
          <w:lang w:eastAsia="ko-KR"/>
        </w:rPr>
        <w:t>s</w:t>
      </w:r>
      <w:r w:rsidR="00B82C40">
        <w:rPr>
          <w:lang w:eastAsia="ko-KR"/>
        </w:rPr>
        <w:t>, system</w:t>
      </w:r>
      <w:r w:rsidR="00016461">
        <w:rPr>
          <w:lang w:eastAsia="ko-KR"/>
        </w:rPr>
        <w:t>s</w:t>
      </w:r>
      <w:r w:rsidR="00B82C40">
        <w:rPr>
          <w:lang w:eastAsia="ko-KR"/>
        </w:rPr>
        <w:t xml:space="preserve"> and services</w:t>
      </w:r>
      <w:r w:rsidR="00FD095E">
        <w:rPr>
          <w:lang w:eastAsia="ko-KR"/>
        </w:rPr>
        <w:t xml:space="preserve"> </w:t>
      </w:r>
      <w:r w:rsidR="0021387A">
        <w:rPr>
          <w:lang w:eastAsia="ko-KR"/>
        </w:rPr>
        <w:t>could</w:t>
      </w:r>
      <w:r w:rsidR="00FD095E">
        <w:rPr>
          <w:lang w:eastAsia="ko-KR"/>
        </w:rPr>
        <w:t xml:space="preserve"> be allocated under the country code which follows the ISO </w:t>
      </w:r>
      <w:r w:rsidR="007F3226">
        <w:rPr>
          <w:lang w:eastAsia="ko-KR"/>
        </w:rPr>
        <w:t xml:space="preserve">3166-1 alpha-2 standards codes. </w:t>
      </w:r>
      <w:r w:rsidR="007C403E">
        <w:rPr>
          <w:lang w:eastAsia="ko-KR"/>
        </w:rPr>
        <w:t>N</w:t>
      </w:r>
      <w:r w:rsidR="00016461">
        <w:rPr>
          <w:lang w:eastAsia="ko-KR"/>
        </w:rPr>
        <w:t xml:space="preserve">ational </w:t>
      </w:r>
      <w:r w:rsidR="007C403E">
        <w:rPr>
          <w:lang w:eastAsia="ko-KR"/>
        </w:rPr>
        <w:t>A</w:t>
      </w:r>
      <w:r w:rsidR="00016461">
        <w:rPr>
          <w:lang w:eastAsia="ko-KR"/>
        </w:rPr>
        <w:t>uthority</w:t>
      </w:r>
      <w:r w:rsidR="007C403E">
        <w:rPr>
          <w:lang w:eastAsia="ko-KR"/>
        </w:rPr>
        <w:t xml:space="preserve"> level </w:t>
      </w:r>
      <w:r w:rsidR="00E32611">
        <w:rPr>
          <w:lang w:eastAsia="ko-KR"/>
        </w:rPr>
        <w:t xml:space="preserve">MRN </w:t>
      </w:r>
      <w:r w:rsidR="00212E75">
        <w:rPr>
          <w:lang w:eastAsia="ko-KR"/>
        </w:rPr>
        <w:t>domain and namespace</w:t>
      </w:r>
      <w:r w:rsidR="00016461">
        <w:rPr>
          <w:lang w:eastAsia="ko-KR"/>
        </w:rPr>
        <w:t>s</w:t>
      </w:r>
      <w:r w:rsidR="00212E75">
        <w:rPr>
          <w:lang w:eastAsia="ko-KR"/>
        </w:rPr>
        <w:t xml:space="preserve"> </w:t>
      </w:r>
      <w:r w:rsidR="0021387A">
        <w:rPr>
          <w:lang w:eastAsia="ko-KR"/>
        </w:rPr>
        <w:t>could</w:t>
      </w:r>
      <w:r w:rsidR="00E32611">
        <w:rPr>
          <w:lang w:eastAsia="ko-KR"/>
        </w:rPr>
        <w:t xml:space="preserve"> be assigned by the responsible </w:t>
      </w:r>
      <w:r w:rsidR="00044A45">
        <w:rPr>
          <w:lang w:eastAsia="ko-KR"/>
        </w:rPr>
        <w:t>N</w:t>
      </w:r>
      <w:r w:rsidR="00016461">
        <w:rPr>
          <w:lang w:eastAsia="ko-KR"/>
        </w:rPr>
        <w:t xml:space="preserve">ational </w:t>
      </w:r>
      <w:r w:rsidR="00044A45">
        <w:rPr>
          <w:lang w:eastAsia="ko-KR"/>
        </w:rPr>
        <w:t>A</w:t>
      </w:r>
      <w:r w:rsidR="00016461">
        <w:rPr>
          <w:lang w:eastAsia="ko-KR"/>
        </w:rPr>
        <w:t>uthority</w:t>
      </w:r>
      <w:r w:rsidR="00212E75">
        <w:rPr>
          <w:lang w:eastAsia="ko-KR"/>
        </w:rPr>
        <w:t xml:space="preserve"> which is agreed by </w:t>
      </w:r>
      <w:r w:rsidR="00044A45">
        <w:rPr>
          <w:lang w:eastAsia="ko-KR"/>
        </w:rPr>
        <w:t xml:space="preserve">its competent authorities </w:t>
      </w:r>
      <w:r w:rsidR="00E32611">
        <w:rPr>
          <w:lang w:eastAsia="ko-KR"/>
        </w:rPr>
        <w:t>on a national basis</w:t>
      </w:r>
      <w:r w:rsidR="007B3618">
        <w:rPr>
          <w:lang w:eastAsia="ko-KR"/>
        </w:rPr>
        <w:t>.</w:t>
      </w:r>
      <w:r w:rsidR="00EC4FEA">
        <w:rPr>
          <w:lang w:eastAsia="ko-KR"/>
        </w:rPr>
        <w:t xml:space="preserve"> </w:t>
      </w:r>
    </w:p>
    <w:p w14:paraId="7630EDC7" w14:textId="11461748" w:rsidR="00044A45" w:rsidRDefault="00042A1C" w:rsidP="00EF066B">
      <w:pPr>
        <w:pStyle w:val="BodyText"/>
        <w:numPr>
          <w:ilvl w:val="0"/>
          <w:numId w:val="33"/>
        </w:numPr>
        <w:rPr>
          <w:lang w:eastAsia="ko-KR"/>
        </w:rPr>
      </w:pPr>
      <w:r>
        <w:rPr>
          <w:lang w:eastAsia="ko-KR"/>
        </w:rPr>
        <w:t xml:space="preserve">VTS </w:t>
      </w:r>
    </w:p>
    <w:p w14:paraId="374FEA96" w14:textId="253023CC" w:rsidR="00EF066B" w:rsidRDefault="00EF066B" w:rsidP="00042A1C">
      <w:pPr>
        <w:pStyle w:val="BodyText"/>
        <w:numPr>
          <w:ilvl w:val="0"/>
          <w:numId w:val="35"/>
        </w:numPr>
        <w:ind w:firstLine="22"/>
        <w:rPr>
          <w:lang w:eastAsia="ko-KR"/>
        </w:rPr>
      </w:pPr>
      <w:r>
        <w:rPr>
          <w:lang w:eastAsia="ko-KR"/>
        </w:rPr>
        <w:t>urn:mrn:</w:t>
      </w:r>
      <w:r w:rsidR="00B76138">
        <w:rPr>
          <w:lang w:eastAsia="ko-KR"/>
        </w:rPr>
        <w:t>iala</w:t>
      </w:r>
      <w:r>
        <w:rPr>
          <w:lang w:eastAsia="ko-KR"/>
        </w:rPr>
        <w:t>:vts:</w:t>
      </w:r>
      <w:r w:rsidR="00D21ABE">
        <w:rPr>
          <w:lang w:eastAsia="ko-KR"/>
        </w:rPr>
        <w:t>us:</w:t>
      </w:r>
      <w:r>
        <w:rPr>
          <w:lang w:eastAsia="ko-KR"/>
        </w:rPr>
        <w:t>123</w:t>
      </w:r>
      <w:r w:rsidR="00EC4FEA">
        <w:rPr>
          <w:lang w:eastAsia="ko-KR"/>
        </w:rPr>
        <w:t>-1</w:t>
      </w:r>
    </w:p>
    <w:p w14:paraId="4BB0A57C" w14:textId="5B0D3C45" w:rsidR="00B76138" w:rsidRDefault="00994D01" w:rsidP="00B76138">
      <w:pPr>
        <w:pStyle w:val="BodyText"/>
        <w:numPr>
          <w:ilvl w:val="0"/>
          <w:numId w:val="33"/>
        </w:numPr>
        <w:rPr>
          <w:lang w:eastAsia="ko-KR"/>
        </w:rPr>
      </w:pPr>
      <w:r>
        <w:rPr>
          <w:lang w:eastAsia="ko-KR"/>
        </w:rPr>
        <w:t xml:space="preserve">Maritime Service and </w:t>
      </w:r>
      <w:r w:rsidR="00B76138">
        <w:rPr>
          <w:lang w:eastAsia="ko-KR"/>
        </w:rPr>
        <w:t>Waterways</w:t>
      </w:r>
      <w:r>
        <w:rPr>
          <w:lang w:eastAsia="ko-KR"/>
        </w:rPr>
        <w:t xml:space="preserve"> </w:t>
      </w:r>
    </w:p>
    <w:p w14:paraId="6BB992F3" w14:textId="5649D77B" w:rsidR="00994D01" w:rsidRDefault="00994D01" w:rsidP="00994D01">
      <w:pPr>
        <w:pStyle w:val="BodyText"/>
        <w:numPr>
          <w:ilvl w:val="0"/>
          <w:numId w:val="35"/>
        </w:numPr>
        <w:ind w:firstLine="22"/>
        <w:rPr>
          <w:lang w:eastAsia="ko-KR"/>
        </w:rPr>
      </w:pPr>
      <w:r>
        <w:rPr>
          <w:lang w:eastAsia="ko-KR"/>
        </w:rPr>
        <w:t>urn:mrn:us:vessel:1234567</w:t>
      </w:r>
    </w:p>
    <w:p w14:paraId="70CBEEE5" w14:textId="25CE0599" w:rsidR="007F3226" w:rsidRDefault="00E32611" w:rsidP="00042A1C">
      <w:pPr>
        <w:pStyle w:val="BodyText"/>
        <w:numPr>
          <w:ilvl w:val="0"/>
          <w:numId w:val="35"/>
        </w:numPr>
        <w:ind w:firstLine="22"/>
        <w:rPr>
          <w:lang w:eastAsia="ko-KR"/>
        </w:rPr>
      </w:pPr>
      <w:r>
        <w:rPr>
          <w:lang w:eastAsia="ko-KR"/>
        </w:rPr>
        <w:t>urn:mrn:us</w:t>
      </w:r>
      <w:r w:rsidR="00542D5E">
        <w:rPr>
          <w:lang w:eastAsia="ko-KR"/>
        </w:rPr>
        <w:t>:vessel:</w:t>
      </w:r>
      <w:r w:rsidR="000C5A60">
        <w:rPr>
          <w:lang w:eastAsia="ko-KR"/>
        </w:rPr>
        <w:t>1234567</w:t>
      </w:r>
    </w:p>
    <w:p w14:paraId="331C857B" w14:textId="3BA1FE6E" w:rsidR="00DE4B79" w:rsidRDefault="00F146D7" w:rsidP="00B9311D">
      <w:pPr>
        <w:pStyle w:val="BodyText"/>
        <w:numPr>
          <w:ilvl w:val="0"/>
          <w:numId w:val="35"/>
        </w:numPr>
        <w:ind w:firstLine="22"/>
        <w:rPr>
          <w:lang w:eastAsia="ko-KR"/>
        </w:rPr>
      </w:pPr>
      <w:r>
        <w:rPr>
          <w:lang w:eastAsia="ko-KR"/>
        </w:rPr>
        <w:t>urn:mrn:us:</w:t>
      </w:r>
      <w:r w:rsidR="008371CA">
        <w:rPr>
          <w:lang w:eastAsia="ko-KR"/>
        </w:rPr>
        <w:t>device</w:t>
      </w:r>
      <w:r>
        <w:rPr>
          <w:lang w:eastAsia="ko-KR"/>
        </w:rPr>
        <w:t>:1234567</w:t>
      </w:r>
    </w:p>
    <w:p w14:paraId="50AA9CA0" w14:textId="51828842" w:rsidR="00993DC2" w:rsidRDefault="00993DC2" w:rsidP="00993DC2">
      <w:pPr>
        <w:pStyle w:val="BodyText"/>
        <w:rPr>
          <w:lang w:eastAsia="ko-KR"/>
        </w:rPr>
      </w:pPr>
      <w:r>
        <w:rPr>
          <w:noProof/>
          <w:lang w:eastAsia="ko-KR"/>
        </w:rPr>
        <w:drawing>
          <wp:inline distT="0" distB="0" distL="0" distR="0" wp14:anchorId="427810F7" wp14:editId="4AA2988A">
            <wp:extent cx="2626156" cy="1978069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725" cy="19890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B225BE" w14:textId="77777777" w:rsidR="00D008EE" w:rsidRPr="00B9311D" w:rsidRDefault="00D008EE" w:rsidP="00993DC2">
      <w:pPr>
        <w:pStyle w:val="BodyText"/>
        <w:rPr>
          <w:lang w:eastAsia="ko-KR"/>
        </w:rPr>
      </w:pPr>
    </w:p>
    <w:p w14:paraId="7A8D2F27" w14:textId="5F557467" w:rsidR="00A446C9" w:rsidRPr="007A395D" w:rsidRDefault="00A446C9" w:rsidP="000E5BA9">
      <w:pPr>
        <w:pStyle w:val="Heading1"/>
      </w:pPr>
      <w:r w:rsidRPr="007A395D">
        <w:lastRenderedPageBreak/>
        <w:t xml:space="preserve">Action requested of the </w:t>
      </w:r>
      <w:r w:rsidR="00365612">
        <w:t>Panel</w:t>
      </w:r>
    </w:p>
    <w:p w14:paraId="60ACBEC9" w14:textId="6B109BDD" w:rsidR="004D1D85" w:rsidRDefault="000C5DB4" w:rsidP="00D00B16">
      <w:pPr>
        <w:pStyle w:val="BodyText"/>
      </w:pPr>
      <w:r>
        <w:rPr>
          <w:rFonts w:eastAsia="Times New Roman"/>
          <w:lang w:eastAsia="en-US"/>
        </w:rPr>
        <w:t>P</w:t>
      </w:r>
      <w:r>
        <w:rPr>
          <w:rFonts w:eastAsia="Times New Roman"/>
        </w:rPr>
        <w:t>AP is requested to note the information provided, discuss the principles to be applied for MRN and act as appropriate.</w:t>
      </w:r>
    </w:p>
    <w:p w14:paraId="2161AE41" w14:textId="753B5895" w:rsidR="00A651CD" w:rsidRDefault="00A651CD"/>
    <w:sectPr w:rsidR="00A651CD" w:rsidSect="00622024">
      <w:head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14271" w14:textId="77777777" w:rsidR="00A506BE" w:rsidRDefault="00A506BE" w:rsidP="00362CD9">
      <w:r>
        <w:separator/>
      </w:r>
    </w:p>
    <w:p w14:paraId="347EC91C" w14:textId="77777777" w:rsidR="00A506BE" w:rsidRDefault="00A506BE"/>
    <w:p w14:paraId="7EF60BC3" w14:textId="77777777" w:rsidR="00A506BE" w:rsidRDefault="00A506BE"/>
  </w:endnote>
  <w:endnote w:type="continuationSeparator" w:id="0">
    <w:p w14:paraId="48932AE2" w14:textId="77777777" w:rsidR="00A506BE" w:rsidRDefault="00A506BE" w:rsidP="00362CD9">
      <w:r>
        <w:continuationSeparator/>
      </w:r>
    </w:p>
    <w:p w14:paraId="50E0FA77" w14:textId="77777777" w:rsidR="00A506BE" w:rsidRDefault="00A506BE"/>
    <w:p w14:paraId="61F58351" w14:textId="77777777" w:rsidR="00A506BE" w:rsidRDefault="00A506BE"/>
  </w:endnote>
  <w:endnote w:type="continuationNotice" w:id="1">
    <w:p w14:paraId="128F96BB" w14:textId="77777777" w:rsidR="00A506BE" w:rsidRDefault="00A50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09DA5" w14:textId="77777777" w:rsidR="00A506BE" w:rsidRDefault="00A506BE" w:rsidP="00362CD9">
      <w:r>
        <w:separator/>
      </w:r>
    </w:p>
    <w:p w14:paraId="1D6CBD9A" w14:textId="77777777" w:rsidR="00A506BE" w:rsidRDefault="00A506BE"/>
    <w:p w14:paraId="6FB27DAE" w14:textId="77777777" w:rsidR="00A506BE" w:rsidRDefault="00A506BE"/>
  </w:footnote>
  <w:footnote w:type="continuationSeparator" w:id="0">
    <w:p w14:paraId="0131C466" w14:textId="77777777" w:rsidR="00A506BE" w:rsidRDefault="00A506BE" w:rsidP="00362CD9">
      <w:r>
        <w:continuationSeparator/>
      </w:r>
    </w:p>
    <w:p w14:paraId="6D482178" w14:textId="77777777" w:rsidR="00A506BE" w:rsidRDefault="00A506BE"/>
    <w:p w14:paraId="0338DD14" w14:textId="77777777" w:rsidR="00A506BE" w:rsidRDefault="00A506BE"/>
  </w:footnote>
  <w:footnote w:type="continuationNotice" w:id="1">
    <w:p w14:paraId="296B0175" w14:textId="77777777" w:rsidR="00A506BE" w:rsidRDefault="00A506BE"/>
  </w:footnote>
  <w:footnote w:id="2">
    <w:p w14:paraId="6A2398C2" w14:textId="77777777" w:rsidR="008F49B8" w:rsidRDefault="008F49B8" w:rsidP="008F49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492F6" w14:textId="29144620" w:rsidR="008F49B8" w:rsidRDefault="008F49B8" w:rsidP="008F49B8">
    <w:pPr>
      <w:pStyle w:val="Header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15"/>
  </w:num>
  <w:num w:numId="5">
    <w:abstractNumId w:val="12"/>
  </w:num>
  <w:num w:numId="6">
    <w:abstractNumId w:val="22"/>
  </w:num>
  <w:num w:numId="7">
    <w:abstractNumId w:val="20"/>
  </w:num>
  <w:num w:numId="8">
    <w:abstractNumId w:val="26"/>
  </w:num>
  <w:num w:numId="9">
    <w:abstractNumId w:val="9"/>
  </w:num>
  <w:num w:numId="10">
    <w:abstractNumId w:val="25"/>
  </w:num>
  <w:num w:numId="11">
    <w:abstractNumId w:val="17"/>
  </w:num>
  <w:num w:numId="12">
    <w:abstractNumId w:val="16"/>
  </w:num>
  <w:num w:numId="13">
    <w:abstractNumId w:val="7"/>
  </w:num>
  <w:num w:numId="14">
    <w:abstractNumId w:val="18"/>
  </w:num>
  <w:num w:numId="15">
    <w:abstractNumId w:val="31"/>
  </w:num>
  <w:num w:numId="16">
    <w:abstractNumId w:val="1"/>
  </w:num>
  <w:num w:numId="17">
    <w:abstractNumId w:val="2"/>
  </w:num>
  <w:num w:numId="18">
    <w:abstractNumId w:val="6"/>
  </w:num>
  <w:num w:numId="19">
    <w:abstractNumId w:val="4"/>
  </w:num>
  <w:num w:numId="20">
    <w:abstractNumId w:val="32"/>
  </w:num>
  <w:num w:numId="21">
    <w:abstractNumId w:val="27"/>
  </w:num>
  <w:num w:numId="22">
    <w:abstractNumId w:val="23"/>
  </w:num>
  <w:num w:numId="23">
    <w:abstractNumId w:val="29"/>
  </w:num>
  <w:num w:numId="24">
    <w:abstractNumId w:val="13"/>
  </w:num>
  <w:num w:numId="25">
    <w:abstractNumId w:val="11"/>
  </w:num>
  <w:num w:numId="26">
    <w:abstractNumId w:val="30"/>
  </w:num>
  <w:num w:numId="27">
    <w:abstractNumId w:val="8"/>
  </w:num>
  <w:num w:numId="28">
    <w:abstractNumId w:val="24"/>
  </w:num>
  <w:num w:numId="29">
    <w:abstractNumId w:val="31"/>
  </w:num>
  <w:num w:numId="30">
    <w:abstractNumId w:val="14"/>
  </w:num>
  <w:num w:numId="31">
    <w:abstractNumId w:val="3"/>
  </w:num>
  <w:num w:numId="32">
    <w:abstractNumId w:val="5"/>
  </w:num>
  <w:num w:numId="33">
    <w:abstractNumId w:val="10"/>
  </w:num>
  <w:num w:numId="34">
    <w:abstractNumId w:val="31"/>
  </w:num>
  <w:num w:numId="35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kwqwUAABSBqCwAAAA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B3E"/>
    <w:rsid w:val="000C2D11"/>
    <w:rsid w:val="000C5A60"/>
    <w:rsid w:val="000C5DB4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54610"/>
    <w:rsid w:val="001568A9"/>
    <w:rsid w:val="00177F4D"/>
    <w:rsid w:val="00180DDA"/>
    <w:rsid w:val="001A799F"/>
    <w:rsid w:val="001B0921"/>
    <w:rsid w:val="001B2A2D"/>
    <w:rsid w:val="001B737D"/>
    <w:rsid w:val="001C44A3"/>
    <w:rsid w:val="001C5010"/>
    <w:rsid w:val="001C7BE2"/>
    <w:rsid w:val="001E0E15"/>
    <w:rsid w:val="001E777C"/>
    <w:rsid w:val="001F528A"/>
    <w:rsid w:val="001F704E"/>
    <w:rsid w:val="00201722"/>
    <w:rsid w:val="002125B0"/>
    <w:rsid w:val="00212E75"/>
    <w:rsid w:val="0021387A"/>
    <w:rsid w:val="002421DB"/>
    <w:rsid w:val="00242328"/>
    <w:rsid w:val="00243228"/>
    <w:rsid w:val="00251483"/>
    <w:rsid w:val="00255CAA"/>
    <w:rsid w:val="00257E5E"/>
    <w:rsid w:val="002608E2"/>
    <w:rsid w:val="002619A4"/>
    <w:rsid w:val="00264305"/>
    <w:rsid w:val="00265CED"/>
    <w:rsid w:val="002831EA"/>
    <w:rsid w:val="00293E21"/>
    <w:rsid w:val="002A0346"/>
    <w:rsid w:val="002A4487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456C1"/>
    <w:rsid w:val="004520B3"/>
    <w:rsid w:val="00452317"/>
    <w:rsid w:val="004563C1"/>
    <w:rsid w:val="00457E99"/>
    <w:rsid w:val="0046128C"/>
    <w:rsid w:val="004661AD"/>
    <w:rsid w:val="00466879"/>
    <w:rsid w:val="00472F36"/>
    <w:rsid w:val="004737B9"/>
    <w:rsid w:val="00487A03"/>
    <w:rsid w:val="004A3A8D"/>
    <w:rsid w:val="004A3EAC"/>
    <w:rsid w:val="004A41C1"/>
    <w:rsid w:val="004C312D"/>
    <w:rsid w:val="004C7031"/>
    <w:rsid w:val="004D1D85"/>
    <w:rsid w:val="004D3C3A"/>
    <w:rsid w:val="004D4B1B"/>
    <w:rsid w:val="004E1CD1"/>
    <w:rsid w:val="005011C7"/>
    <w:rsid w:val="0050163C"/>
    <w:rsid w:val="0050425D"/>
    <w:rsid w:val="005107EB"/>
    <w:rsid w:val="00521345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425C4"/>
    <w:rsid w:val="00643CFB"/>
    <w:rsid w:val="00650B5D"/>
    <w:rsid w:val="006652C3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793F"/>
    <w:rsid w:val="006D1430"/>
    <w:rsid w:val="006F2A74"/>
    <w:rsid w:val="006F4F07"/>
    <w:rsid w:val="007055E4"/>
    <w:rsid w:val="007118F5"/>
    <w:rsid w:val="00712AA4"/>
    <w:rsid w:val="007131BB"/>
    <w:rsid w:val="00713E06"/>
    <w:rsid w:val="007146C4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1519"/>
    <w:rsid w:val="007949AA"/>
    <w:rsid w:val="007A395D"/>
    <w:rsid w:val="007A4C38"/>
    <w:rsid w:val="007B3618"/>
    <w:rsid w:val="007B5066"/>
    <w:rsid w:val="007B79F2"/>
    <w:rsid w:val="007C346C"/>
    <w:rsid w:val="007C403E"/>
    <w:rsid w:val="007C4588"/>
    <w:rsid w:val="007D7171"/>
    <w:rsid w:val="007E09BC"/>
    <w:rsid w:val="007E2491"/>
    <w:rsid w:val="007F3226"/>
    <w:rsid w:val="0080294B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71A4"/>
    <w:rsid w:val="008C0003"/>
    <w:rsid w:val="008C5C6D"/>
    <w:rsid w:val="008D0EA2"/>
    <w:rsid w:val="008D1694"/>
    <w:rsid w:val="008D4339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831C0"/>
    <w:rsid w:val="0099161D"/>
    <w:rsid w:val="00993ADC"/>
    <w:rsid w:val="00993DC2"/>
    <w:rsid w:val="00994D01"/>
    <w:rsid w:val="009A085B"/>
    <w:rsid w:val="009A5D7A"/>
    <w:rsid w:val="009A6D03"/>
    <w:rsid w:val="009B4428"/>
    <w:rsid w:val="009B5263"/>
    <w:rsid w:val="009D53C3"/>
    <w:rsid w:val="009F3850"/>
    <w:rsid w:val="00A028E9"/>
    <w:rsid w:val="00A0389B"/>
    <w:rsid w:val="00A2014D"/>
    <w:rsid w:val="00A22D04"/>
    <w:rsid w:val="00A33AE9"/>
    <w:rsid w:val="00A35999"/>
    <w:rsid w:val="00A446C9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B149E3"/>
    <w:rsid w:val="00B1676A"/>
    <w:rsid w:val="00B179FE"/>
    <w:rsid w:val="00B226F2"/>
    <w:rsid w:val="00B274DF"/>
    <w:rsid w:val="00B42C9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4207"/>
    <w:rsid w:val="00C05CE5"/>
    <w:rsid w:val="00C07E8C"/>
    <w:rsid w:val="00C07F00"/>
    <w:rsid w:val="00C33691"/>
    <w:rsid w:val="00C343C3"/>
    <w:rsid w:val="00C5268D"/>
    <w:rsid w:val="00C540E6"/>
    <w:rsid w:val="00C55C48"/>
    <w:rsid w:val="00C6171E"/>
    <w:rsid w:val="00C70D7B"/>
    <w:rsid w:val="00C85DA1"/>
    <w:rsid w:val="00CA6F2C"/>
    <w:rsid w:val="00CA7FE3"/>
    <w:rsid w:val="00CB24C7"/>
    <w:rsid w:val="00CB2787"/>
    <w:rsid w:val="00CC2DCC"/>
    <w:rsid w:val="00CC6E6E"/>
    <w:rsid w:val="00CD642A"/>
    <w:rsid w:val="00CE145C"/>
    <w:rsid w:val="00CF1871"/>
    <w:rsid w:val="00D008EE"/>
    <w:rsid w:val="00D00B16"/>
    <w:rsid w:val="00D019CE"/>
    <w:rsid w:val="00D1133E"/>
    <w:rsid w:val="00D17A34"/>
    <w:rsid w:val="00D21ABE"/>
    <w:rsid w:val="00D26628"/>
    <w:rsid w:val="00D332B3"/>
    <w:rsid w:val="00D55207"/>
    <w:rsid w:val="00D65BE5"/>
    <w:rsid w:val="00D80BDE"/>
    <w:rsid w:val="00D81801"/>
    <w:rsid w:val="00D92B45"/>
    <w:rsid w:val="00D95962"/>
    <w:rsid w:val="00DC01DA"/>
    <w:rsid w:val="00DC389B"/>
    <w:rsid w:val="00DD0907"/>
    <w:rsid w:val="00DD6270"/>
    <w:rsid w:val="00DE2FEE"/>
    <w:rsid w:val="00DE4574"/>
    <w:rsid w:val="00DE4B79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623F"/>
    <w:rsid w:val="00E60584"/>
    <w:rsid w:val="00E84E1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3685"/>
    <w:rsid w:val="00F04350"/>
    <w:rsid w:val="00F078EA"/>
    <w:rsid w:val="00F133DB"/>
    <w:rsid w:val="00F146D7"/>
    <w:rsid w:val="00F159EB"/>
    <w:rsid w:val="00F25BF4"/>
    <w:rsid w:val="00F267DB"/>
    <w:rsid w:val="00F36489"/>
    <w:rsid w:val="00F46F6F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s1.org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mvalidation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pcdmc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hg.com/index.php?id=23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E4EBD-9DC4-47D4-9D0E-983E2F510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3382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Tom Southall</cp:lastModifiedBy>
  <cp:revision>3</cp:revision>
  <cp:lastPrinted>2018-07-05T23:13:00Z</cp:lastPrinted>
  <dcterms:created xsi:type="dcterms:W3CDTF">2019-08-13T07:31:00Z</dcterms:created>
  <dcterms:modified xsi:type="dcterms:W3CDTF">2019-08-13T07:53:00Z</dcterms:modified>
</cp:coreProperties>
</file>